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16B" w:rsidRPr="00EB2514" w:rsidRDefault="00CD016B" w:rsidP="00CD016B">
      <w:pPr>
        <w:spacing w:before="480" w:after="120"/>
        <w:jc w:val="center"/>
        <w:rPr>
          <w:rFonts w:ascii="Calibri" w:hAnsi="Calibri" w:cs="Calibri"/>
          <w:b/>
          <w:sz w:val="22"/>
          <w:szCs w:val="22"/>
          <w:lang w:val="ru-RU" w:eastAsia="ru-RU"/>
        </w:rPr>
      </w:pPr>
      <w:bookmarkStart w:id="0" w:name="_GoBack"/>
      <w:r w:rsidRPr="00EB2514">
        <w:rPr>
          <w:rFonts w:ascii="Calibri" w:hAnsi="Calibri" w:cs="Calibri"/>
          <w:b/>
          <w:sz w:val="22"/>
          <w:szCs w:val="22"/>
          <w:lang w:val="ru-RU" w:eastAsia="ru-RU"/>
        </w:rPr>
        <w:t xml:space="preserve">Условия предоставления потребительских кредитов физическим лицам – работникам </w:t>
      </w:r>
      <w:r w:rsidRPr="00EB2514">
        <w:rPr>
          <w:rFonts w:ascii="Calibri" w:hAnsi="Calibri" w:cs="Calibri"/>
          <w:b/>
          <w:sz w:val="22"/>
          <w:szCs w:val="22"/>
          <w:lang w:val="ru-RU" w:eastAsia="ru-RU"/>
        </w:rPr>
        <w:t>компаний, включенных</w:t>
      </w:r>
      <w:r w:rsidRPr="00EB2514">
        <w:rPr>
          <w:rFonts w:ascii="Calibri" w:hAnsi="Calibri" w:cs="Calibri"/>
          <w:b/>
          <w:sz w:val="22"/>
          <w:szCs w:val="22"/>
          <w:lang w:val="ru-RU" w:eastAsia="ru-RU"/>
        </w:rPr>
        <w:t xml:space="preserve"> в Список стратегических партнеров ООО «банк Раунд»</w:t>
      </w:r>
      <w:bookmarkEnd w:id="0"/>
    </w:p>
    <w:p w:rsidR="00CD016B" w:rsidRPr="00EB2514" w:rsidRDefault="00CD016B" w:rsidP="00CD016B">
      <w:pPr>
        <w:jc w:val="right"/>
        <w:rPr>
          <w:rFonts w:ascii="Calibri" w:hAnsi="Calibri" w:cs="Calibri"/>
          <w:i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i/>
          <w:sz w:val="20"/>
          <w:szCs w:val="20"/>
          <w:lang w:val="ru-RU" w:eastAsia="ru-RU"/>
        </w:rPr>
        <w:t>Введены в действие с «2</w:t>
      </w:r>
      <w:r>
        <w:rPr>
          <w:rFonts w:ascii="Calibri" w:hAnsi="Calibri" w:cs="Calibri"/>
          <w:b/>
          <w:i/>
          <w:sz w:val="20"/>
          <w:szCs w:val="20"/>
          <w:lang w:val="ru-RU" w:eastAsia="ru-RU"/>
        </w:rPr>
        <w:t>5</w:t>
      </w:r>
      <w:r w:rsidRPr="00EB2514">
        <w:rPr>
          <w:rFonts w:ascii="Calibri" w:hAnsi="Calibri" w:cs="Calibri"/>
          <w:b/>
          <w:i/>
          <w:sz w:val="20"/>
          <w:szCs w:val="20"/>
          <w:lang w:val="ru-RU" w:eastAsia="ru-RU"/>
        </w:rPr>
        <w:t>» августа 2023</w:t>
      </w:r>
    </w:p>
    <w:tbl>
      <w:tblPr>
        <w:tblW w:w="50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4"/>
        <w:gridCol w:w="1421"/>
        <w:gridCol w:w="6146"/>
        <w:gridCol w:w="6151"/>
      </w:tblGrid>
      <w:tr w:rsidR="00CD016B" w:rsidRPr="007F61E2" w:rsidTr="007245A9">
        <w:trPr>
          <w:cantSplit/>
          <w:trHeight w:val="283"/>
          <w:tblHeader/>
        </w:trPr>
        <w:tc>
          <w:tcPr>
            <w:tcW w:w="2835" w:type="dxa"/>
            <w:gridSpan w:val="2"/>
            <w:shd w:val="clear" w:color="auto" w:fill="ACB9CA" w:themeFill="text2" w:themeFillTint="66"/>
            <w:vAlign w:val="center"/>
          </w:tcPr>
          <w:p w:rsidR="00CD016B" w:rsidRPr="00EB2514" w:rsidRDefault="00CD016B" w:rsidP="007245A9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Наименование программы кредитования</w:t>
            </w:r>
          </w:p>
        </w:tc>
        <w:tc>
          <w:tcPr>
            <w:tcW w:w="6146" w:type="dxa"/>
            <w:shd w:val="clear" w:color="auto" w:fill="ACB9CA" w:themeFill="text2" w:themeFillTint="66"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Потребительское кредитование физических лиц – работников компаний, включенных в Список стратегических партнеров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</w:p>
        </w:tc>
        <w:tc>
          <w:tcPr>
            <w:tcW w:w="6151" w:type="dxa"/>
            <w:shd w:val="clear" w:color="auto" w:fill="ACB9CA" w:themeFill="text2" w:themeFillTint="66"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Потребительское кредитование 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физических лиц – работников компаний, включенных в Список стратегических партнеров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,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 на рефинансирование кредитов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(2)</w:t>
            </w:r>
          </w:p>
        </w:tc>
      </w:tr>
      <w:tr w:rsidR="00CD016B" w:rsidRPr="007F61E2" w:rsidTr="007245A9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:rsidR="00CD016B" w:rsidRPr="00EB2514" w:rsidRDefault="00CD016B" w:rsidP="007245A9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Целевая группа заемщиков</w:t>
            </w:r>
          </w:p>
        </w:tc>
        <w:tc>
          <w:tcPr>
            <w:tcW w:w="12297" w:type="dxa"/>
            <w:gridSpan w:val="2"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Физические лица, являющиеся работниками компаний, включенных в Список стратегических партнеров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(1, 3)</w:t>
            </w:r>
          </w:p>
        </w:tc>
      </w:tr>
      <w:tr w:rsidR="00CD016B" w:rsidRPr="00EB2514" w:rsidTr="007245A9">
        <w:tblPrEx>
          <w:shd w:val="clear" w:color="auto" w:fill="D9D9D9"/>
        </w:tblPrEx>
        <w:trPr>
          <w:cantSplit/>
          <w:trHeight w:val="283"/>
        </w:trPr>
        <w:tc>
          <w:tcPr>
            <w:tcW w:w="15132" w:type="dxa"/>
            <w:gridSpan w:val="4"/>
            <w:shd w:val="clear" w:color="auto" w:fill="C9C9C9" w:themeFill="accent3" w:themeFillTint="99"/>
            <w:vAlign w:val="center"/>
          </w:tcPr>
          <w:p w:rsidR="00CD016B" w:rsidRPr="00EB2514" w:rsidRDefault="00CD016B" w:rsidP="007245A9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Параметры кредитования</w:t>
            </w:r>
          </w:p>
        </w:tc>
      </w:tr>
      <w:tr w:rsidR="00CD016B" w:rsidRPr="007F61E2" w:rsidTr="007245A9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:rsidR="00CD016B" w:rsidRPr="00EB2514" w:rsidRDefault="00CD016B" w:rsidP="00CD016B">
            <w:pPr>
              <w:numPr>
                <w:ilvl w:val="0"/>
                <w:numId w:val="8"/>
              </w:numPr>
              <w:tabs>
                <w:tab w:val="left" w:pos="555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Цель кредита</w:t>
            </w:r>
          </w:p>
        </w:tc>
        <w:tc>
          <w:tcPr>
            <w:tcW w:w="6146" w:type="dxa"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потребительские нужды (любые цели)</w:t>
            </w:r>
          </w:p>
        </w:tc>
        <w:tc>
          <w:tcPr>
            <w:tcW w:w="6151" w:type="dxa"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погашение залоговых и беззалоговых кредитов, в том числе на потребительские нужды (любые цели)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(4)</w:t>
            </w:r>
          </w:p>
        </w:tc>
      </w:tr>
      <w:tr w:rsidR="00CD016B" w:rsidRPr="00EB2514" w:rsidTr="007245A9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:rsidR="00CD016B" w:rsidRPr="00EB2514" w:rsidRDefault="00CD016B" w:rsidP="00CD016B">
            <w:pPr>
              <w:numPr>
                <w:ilvl w:val="0"/>
                <w:numId w:val="8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Валюта кредита</w:t>
            </w:r>
          </w:p>
        </w:tc>
        <w:tc>
          <w:tcPr>
            <w:tcW w:w="12297" w:type="dxa"/>
            <w:gridSpan w:val="2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Рубль РФ</w:t>
            </w:r>
          </w:p>
        </w:tc>
      </w:tr>
      <w:tr w:rsidR="00CD016B" w:rsidRPr="00EB2514" w:rsidTr="007245A9">
        <w:trPr>
          <w:cantSplit/>
          <w:trHeight w:val="283"/>
        </w:trPr>
        <w:tc>
          <w:tcPr>
            <w:tcW w:w="1414" w:type="dxa"/>
            <w:vMerge w:val="restart"/>
            <w:vAlign w:val="center"/>
          </w:tcPr>
          <w:p w:rsidR="00CD016B" w:rsidRPr="00EB2514" w:rsidRDefault="00CD016B" w:rsidP="00CD016B">
            <w:pPr>
              <w:numPr>
                <w:ilvl w:val="0"/>
                <w:numId w:val="8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Сумма кредита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(5)</w:t>
            </w:r>
          </w:p>
        </w:tc>
        <w:tc>
          <w:tcPr>
            <w:tcW w:w="1421" w:type="dxa"/>
            <w:vAlign w:val="center"/>
          </w:tcPr>
          <w:p w:rsidR="00CD016B" w:rsidRPr="00EB2514" w:rsidRDefault="00CD016B" w:rsidP="007245A9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Минимальная</w:t>
            </w:r>
          </w:p>
        </w:tc>
        <w:tc>
          <w:tcPr>
            <w:tcW w:w="6146" w:type="dxa"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eastAsia="ru-RU"/>
              </w:rPr>
              <w:t>30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000 руб.</w:t>
            </w:r>
          </w:p>
        </w:tc>
        <w:tc>
          <w:tcPr>
            <w:tcW w:w="6151" w:type="dxa"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200 000 руб.</w:t>
            </w:r>
          </w:p>
        </w:tc>
      </w:tr>
      <w:tr w:rsidR="00CD016B" w:rsidRPr="00EB2514" w:rsidTr="007245A9">
        <w:trPr>
          <w:cantSplit/>
          <w:trHeight w:val="283"/>
        </w:trPr>
        <w:tc>
          <w:tcPr>
            <w:tcW w:w="1414" w:type="dxa"/>
            <w:vMerge/>
            <w:vAlign w:val="center"/>
          </w:tcPr>
          <w:p w:rsidR="00CD016B" w:rsidRPr="00EB2514" w:rsidRDefault="00CD016B" w:rsidP="007245A9">
            <w:p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21" w:type="dxa"/>
            <w:vAlign w:val="center"/>
          </w:tcPr>
          <w:p w:rsidR="00CD016B" w:rsidRPr="00EB2514" w:rsidRDefault="00CD016B" w:rsidP="007245A9">
            <w:pPr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Максимальная</w:t>
            </w:r>
          </w:p>
        </w:tc>
        <w:tc>
          <w:tcPr>
            <w:tcW w:w="6146" w:type="dxa"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  <w:tc>
          <w:tcPr>
            <w:tcW w:w="6151" w:type="dxa"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</w:tr>
      <w:tr w:rsidR="00CD016B" w:rsidRPr="00EB2514" w:rsidTr="007245A9">
        <w:trPr>
          <w:cantSplit/>
          <w:trHeight w:val="283"/>
        </w:trPr>
        <w:tc>
          <w:tcPr>
            <w:tcW w:w="2835" w:type="dxa"/>
            <w:gridSpan w:val="2"/>
            <w:shd w:val="clear" w:color="auto" w:fill="auto"/>
            <w:vAlign w:val="center"/>
          </w:tcPr>
          <w:p w:rsidR="00CD016B" w:rsidRPr="00EB2514" w:rsidRDefault="00CD016B" w:rsidP="00CD016B">
            <w:pPr>
              <w:numPr>
                <w:ilvl w:val="0"/>
                <w:numId w:val="8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Срок кредита</w:t>
            </w:r>
          </w:p>
        </w:tc>
        <w:tc>
          <w:tcPr>
            <w:tcW w:w="6146" w:type="dxa"/>
            <w:shd w:val="clear" w:color="auto" w:fill="auto"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13 до 60 месяцев</w:t>
            </w:r>
          </w:p>
        </w:tc>
        <w:tc>
          <w:tcPr>
            <w:tcW w:w="6151" w:type="dxa"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13 до 60 месяцев</w:t>
            </w:r>
          </w:p>
        </w:tc>
      </w:tr>
      <w:tr w:rsidR="00CD016B" w:rsidRPr="00EB2514" w:rsidTr="007245A9">
        <w:trPr>
          <w:cantSplit/>
          <w:trHeight w:val="283"/>
        </w:trPr>
        <w:tc>
          <w:tcPr>
            <w:tcW w:w="2835" w:type="dxa"/>
            <w:gridSpan w:val="2"/>
            <w:shd w:val="clear" w:color="auto" w:fill="auto"/>
            <w:vAlign w:val="center"/>
          </w:tcPr>
          <w:p w:rsidR="00CD016B" w:rsidRPr="00EB2514" w:rsidRDefault="00CD016B" w:rsidP="00CD016B">
            <w:pPr>
              <w:numPr>
                <w:ilvl w:val="0"/>
                <w:numId w:val="8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Процентная ставка по кредиту, годовых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(6)</w:t>
            </w:r>
          </w:p>
        </w:tc>
        <w:tc>
          <w:tcPr>
            <w:tcW w:w="6146" w:type="dxa"/>
            <w:shd w:val="clear" w:color="auto" w:fill="auto"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12</w:t>
            </w: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.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5%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(7)</w:t>
            </w:r>
          </w:p>
        </w:tc>
        <w:tc>
          <w:tcPr>
            <w:tcW w:w="6151" w:type="dxa"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12.5%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(8, 9)</w:t>
            </w:r>
          </w:p>
        </w:tc>
      </w:tr>
      <w:tr w:rsidR="00CD016B" w:rsidRPr="007F61E2" w:rsidTr="007245A9">
        <w:trPr>
          <w:cantSplit/>
          <w:trHeight w:val="283"/>
        </w:trPr>
        <w:tc>
          <w:tcPr>
            <w:tcW w:w="2835" w:type="dxa"/>
            <w:gridSpan w:val="2"/>
            <w:shd w:val="clear" w:color="auto" w:fill="auto"/>
            <w:vAlign w:val="center"/>
          </w:tcPr>
          <w:p w:rsidR="00CD016B" w:rsidRPr="00EB2514" w:rsidRDefault="00CD016B" w:rsidP="00CD016B">
            <w:pPr>
              <w:numPr>
                <w:ilvl w:val="0"/>
                <w:numId w:val="8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Дополнительные</w:t>
            </w:r>
            <w:r w:rsidRPr="00EB251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расходы по кредиту</w:t>
            </w:r>
          </w:p>
        </w:tc>
        <w:tc>
          <w:tcPr>
            <w:tcW w:w="12297" w:type="dxa"/>
            <w:gridSpan w:val="2"/>
            <w:shd w:val="clear" w:color="auto" w:fill="auto"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Отсутствуют</w:t>
            </w:r>
          </w:p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(отсутствует комиссия за оформление кредита, комиссия за обслуживание ссудного счета,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комиссия за досрочное (частичное или полное) погашение кредита и т.п.)</w:t>
            </w:r>
          </w:p>
        </w:tc>
      </w:tr>
      <w:tr w:rsidR="00CD016B" w:rsidRPr="00EB2514" w:rsidTr="007245A9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:rsidR="00CD016B" w:rsidRPr="00EB2514" w:rsidRDefault="00CD016B" w:rsidP="00CD016B">
            <w:pPr>
              <w:numPr>
                <w:ilvl w:val="0"/>
                <w:numId w:val="8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Требования к Заемщику (на дату подачи кредитной заявки)</w:t>
            </w:r>
          </w:p>
        </w:tc>
        <w:tc>
          <w:tcPr>
            <w:tcW w:w="6146" w:type="dxa"/>
            <w:tcBorders>
              <w:bottom w:val="single" w:sz="4" w:space="0" w:color="auto"/>
            </w:tcBorders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№1 к настоящим Условиям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№2 к настоящим Условиям</w:t>
            </w:r>
          </w:p>
        </w:tc>
      </w:tr>
      <w:tr w:rsidR="00CD016B" w:rsidRPr="00EB2514" w:rsidTr="007245A9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:rsidR="00CD016B" w:rsidRPr="00EB2514" w:rsidRDefault="00CD016B" w:rsidP="00CD016B">
            <w:pPr>
              <w:numPr>
                <w:ilvl w:val="0"/>
                <w:numId w:val="8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Требования к рефинансируемым кредитам (на дату подачи кредитной заявки)</w:t>
            </w:r>
          </w:p>
        </w:tc>
        <w:tc>
          <w:tcPr>
            <w:tcW w:w="6146" w:type="dxa"/>
            <w:tcBorders>
              <w:bottom w:val="single" w:sz="4" w:space="0" w:color="auto"/>
            </w:tcBorders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применимо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№3 к настоящим Условиям</w:t>
            </w:r>
          </w:p>
        </w:tc>
      </w:tr>
      <w:tr w:rsidR="00CD016B" w:rsidRPr="007F61E2" w:rsidTr="007245A9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:rsidR="00CD016B" w:rsidRPr="00EB2514" w:rsidRDefault="00CD016B" w:rsidP="00CD016B">
            <w:pPr>
              <w:numPr>
                <w:ilvl w:val="0"/>
                <w:numId w:val="8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Подтверждение целевого использования кредита</w:t>
            </w:r>
          </w:p>
        </w:tc>
        <w:tc>
          <w:tcPr>
            <w:tcW w:w="6146" w:type="dxa"/>
            <w:tcBorders>
              <w:bottom w:val="single" w:sz="4" w:space="0" w:color="auto"/>
            </w:tcBorders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Предоставление документа из первоначального банка-кредитора о полном погашении ссудной задолженности в течении 60 календарных дней с даты выдачи кредита или его части, предоставленной на цели рефинансирования</w:t>
            </w:r>
          </w:p>
        </w:tc>
      </w:tr>
      <w:tr w:rsidR="00CD016B" w:rsidRPr="00EB2514" w:rsidTr="007245A9">
        <w:tblPrEx>
          <w:shd w:val="clear" w:color="auto" w:fill="D9D9D9"/>
        </w:tblPrEx>
        <w:trPr>
          <w:cantSplit/>
          <w:trHeight w:val="283"/>
        </w:trPr>
        <w:tc>
          <w:tcPr>
            <w:tcW w:w="15132" w:type="dxa"/>
            <w:gridSpan w:val="4"/>
            <w:shd w:val="clear" w:color="auto" w:fill="C9C9C9" w:themeFill="accent3" w:themeFillTint="99"/>
            <w:vAlign w:val="center"/>
          </w:tcPr>
          <w:p w:rsidR="00CD016B" w:rsidRPr="00EB2514" w:rsidRDefault="00CD016B" w:rsidP="007245A9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Обеспечение </w:t>
            </w:r>
          </w:p>
        </w:tc>
      </w:tr>
      <w:tr w:rsidR="00CD016B" w:rsidRPr="00EB2514" w:rsidTr="007245A9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:rsidR="00CD016B" w:rsidRPr="00EB2514" w:rsidRDefault="00CD016B" w:rsidP="00CD016B">
            <w:pPr>
              <w:numPr>
                <w:ilvl w:val="0"/>
                <w:numId w:val="8"/>
              </w:numPr>
              <w:tabs>
                <w:tab w:val="left" w:pos="537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Обеспечение</w:t>
            </w:r>
            <w:r w:rsidRPr="00EB251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по кредиту</w:t>
            </w:r>
          </w:p>
        </w:tc>
        <w:tc>
          <w:tcPr>
            <w:tcW w:w="12297" w:type="dxa"/>
            <w:gridSpan w:val="2"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CD016B" w:rsidRPr="00EB2514" w:rsidTr="007245A9">
        <w:tblPrEx>
          <w:shd w:val="clear" w:color="auto" w:fill="D9D9D9"/>
        </w:tblPrEx>
        <w:trPr>
          <w:cantSplit/>
          <w:trHeight w:val="283"/>
        </w:trPr>
        <w:tc>
          <w:tcPr>
            <w:tcW w:w="15132" w:type="dxa"/>
            <w:gridSpan w:val="4"/>
            <w:shd w:val="clear" w:color="auto" w:fill="C9C9C9" w:themeFill="accent3" w:themeFillTint="99"/>
            <w:vAlign w:val="center"/>
          </w:tcPr>
          <w:p w:rsidR="00CD016B" w:rsidRPr="00EB2514" w:rsidRDefault="00CD016B" w:rsidP="007245A9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Страхование</w:t>
            </w:r>
          </w:p>
        </w:tc>
      </w:tr>
      <w:tr w:rsidR="00CD016B" w:rsidRPr="00EB2514" w:rsidTr="007245A9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:rsidR="00CD016B" w:rsidRPr="00EB2514" w:rsidRDefault="00CD016B" w:rsidP="00CD016B">
            <w:pPr>
              <w:numPr>
                <w:ilvl w:val="0"/>
                <w:numId w:val="8"/>
              </w:numPr>
              <w:tabs>
                <w:tab w:val="left" w:pos="537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Виды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страхования</w:t>
            </w:r>
          </w:p>
        </w:tc>
        <w:tc>
          <w:tcPr>
            <w:tcW w:w="12297" w:type="dxa"/>
            <w:gridSpan w:val="2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CD016B" w:rsidRPr="00EB2514" w:rsidTr="007245A9">
        <w:trPr>
          <w:cantSplit/>
          <w:trHeight w:val="283"/>
        </w:trPr>
        <w:tc>
          <w:tcPr>
            <w:tcW w:w="15132" w:type="dxa"/>
            <w:gridSpan w:val="4"/>
            <w:shd w:val="clear" w:color="auto" w:fill="C9C9C9" w:themeFill="accent3" w:themeFillTint="99"/>
            <w:vAlign w:val="center"/>
          </w:tcPr>
          <w:p w:rsidR="00CD016B" w:rsidRPr="00EB2514" w:rsidRDefault="00CD016B" w:rsidP="007245A9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Выдача и погашение кредита</w:t>
            </w:r>
          </w:p>
        </w:tc>
      </w:tr>
      <w:tr w:rsidR="00CD016B" w:rsidRPr="007F61E2" w:rsidTr="007245A9">
        <w:tblPrEx>
          <w:shd w:val="clear" w:color="auto" w:fill="D9D9D9"/>
        </w:tblPrEx>
        <w:trPr>
          <w:cantSplit/>
          <w:trHeight w:val="283"/>
        </w:trPr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:rsidR="00CD016B" w:rsidRPr="00EB2514" w:rsidRDefault="00CD016B" w:rsidP="00CD016B">
            <w:pPr>
              <w:numPr>
                <w:ilvl w:val="0"/>
                <w:numId w:val="8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Порядок предоставления кредита</w:t>
            </w:r>
          </w:p>
        </w:tc>
        <w:tc>
          <w:tcPr>
            <w:tcW w:w="12297" w:type="dxa"/>
            <w:gridSpan w:val="2"/>
            <w:tcBorders>
              <w:left w:val="single" w:sz="4" w:space="0" w:color="auto"/>
            </w:tcBorders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Предоставление кредита осуществляется на основании Индивидуальных условий договора потребительского кредита и Общих условий потребительского кредитования ООО «банк Раунд», являющихся составными и неотъемлемыми частями кредитного договора</w:t>
            </w:r>
          </w:p>
        </w:tc>
      </w:tr>
      <w:tr w:rsidR="00CD016B" w:rsidRPr="007F61E2" w:rsidTr="007245A9">
        <w:tblPrEx>
          <w:shd w:val="clear" w:color="auto" w:fill="D9D9D9"/>
        </w:tblPrEx>
        <w:trPr>
          <w:cantSplit/>
          <w:trHeight w:val="283"/>
        </w:trPr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:rsidR="00CD016B" w:rsidRPr="00EB2514" w:rsidRDefault="00CD016B" w:rsidP="00CD016B">
            <w:pPr>
              <w:numPr>
                <w:ilvl w:val="0"/>
                <w:numId w:val="8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Выдача кредита</w:t>
            </w:r>
          </w:p>
        </w:tc>
        <w:tc>
          <w:tcPr>
            <w:tcW w:w="12297" w:type="dxa"/>
            <w:gridSpan w:val="2"/>
            <w:tcBorders>
              <w:left w:val="single" w:sz="4" w:space="0" w:color="auto"/>
            </w:tcBorders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Потребительский кредит предоставляется </w:t>
            </w:r>
            <w:r w:rsidRPr="00EB251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путем однократной выдачи всей суммы на банковский счет Заемщика, открытый в ООО «банк Раунд»,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условиях предусмотренных кредитным договором</w:t>
            </w:r>
          </w:p>
        </w:tc>
      </w:tr>
      <w:tr w:rsidR="00CD016B" w:rsidRPr="007F61E2" w:rsidTr="007245A9">
        <w:trPr>
          <w:cantSplit/>
          <w:trHeight w:val="283"/>
        </w:trPr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:rsidR="00CD016B" w:rsidRPr="00EB2514" w:rsidRDefault="00CD016B" w:rsidP="00CD016B">
            <w:pPr>
              <w:numPr>
                <w:ilvl w:val="0"/>
                <w:numId w:val="8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Погашение кредита</w:t>
            </w:r>
          </w:p>
        </w:tc>
        <w:tc>
          <w:tcPr>
            <w:tcW w:w="12297" w:type="dxa"/>
            <w:gridSpan w:val="2"/>
            <w:tcBorders>
              <w:left w:val="single" w:sz="4" w:space="0" w:color="auto"/>
            </w:tcBorders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обязуется возвратить предоставленный Потребительский кредит и уплатить Банку проценты в размере и сроки, установленные кредитным договором (ежемесячными аннуитетными платежами, включающими в себя платежи по обслуживанию кредита (проценты) и платежи в погашение кредита)</w:t>
            </w:r>
          </w:p>
        </w:tc>
      </w:tr>
      <w:tr w:rsidR="00CD016B" w:rsidRPr="007F61E2" w:rsidTr="007245A9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:rsidR="00CD016B" w:rsidRPr="00EB2514" w:rsidRDefault="00CD016B" w:rsidP="00CD016B">
            <w:pPr>
              <w:numPr>
                <w:ilvl w:val="0"/>
                <w:numId w:val="8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Досрочное погашение</w:t>
            </w:r>
          </w:p>
        </w:tc>
        <w:tc>
          <w:tcPr>
            <w:tcW w:w="12297" w:type="dxa"/>
            <w:gridSpan w:val="2"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вправе досрочно полностью или частично погасить кредит в порядке, установленном кредитным договором</w:t>
            </w:r>
          </w:p>
        </w:tc>
      </w:tr>
      <w:tr w:rsidR="00CD016B" w:rsidRPr="007F61E2" w:rsidTr="007245A9">
        <w:trPr>
          <w:cantSplit/>
          <w:trHeight w:val="283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016B" w:rsidRPr="00EB2514" w:rsidRDefault="00CD016B" w:rsidP="00CD016B">
            <w:pPr>
              <w:numPr>
                <w:ilvl w:val="0"/>
                <w:numId w:val="8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Неустойка за просрочку возврата кредита и (или) уплаты процентов за пользование кредитом</w:t>
            </w:r>
          </w:p>
        </w:tc>
        <w:tc>
          <w:tcPr>
            <w:tcW w:w="122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0.05% от просроченной суммы за каждый день просрочки</w:t>
            </w:r>
          </w:p>
        </w:tc>
      </w:tr>
      <w:tr w:rsidR="00CD016B" w:rsidRPr="007F61E2" w:rsidTr="007245A9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:rsidR="00CD016B" w:rsidRPr="00EB2514" w:rsidRDefault="00CD016B" w:rsidP="00CD016B">
            <w:pPr>
              <w:numPr>
                <w:ilvl w:val="0"/>
                <w:numId w:val="8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Полная стоимость кредита (ПСК)</w:t>
            </w:r>
          </w:p>
        </w:tc>
        <w:tc>
          <w:tcPr>
            <w:tcW w:w="12297" w:type="dxa"/>
            <w:gridSpan w:val="2"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Диапазоны значений полной стоимости кредита (ПСК) размещены на официальном сайте ООО «банк Раунд» в разделе «Частным лицам» в подразделе «Кредиты», а также в </w:t>
            </w:r>
            <w:r w:rsidRPr="00EB2514">
              <w:rPr>
                <w:rFonts w:ascii="Calibri" w:eastAsia="Arial" w:hAnsi="Calibri" w:cs="Calibri"/>
                <w:sz w:val="20"/>
                <w:szCs w:val="20"/>
                <w:lang w:val="ru-RU" w:eastAsia="ru-RU"/>
              </w:rPr>
              <w:t>местах оказания услуг (местах приема заявлений о предоставлении потребительского кредита)</w:t>
            </w:r>
          </w:p>
        </w:tc>
      </w:tr>
    </w:tbl>
    <w:p w:rsidR="00CD016B" w:rsidRPr="00EB2514" w:rsidRDefault="00CD016B" w:rsidP="00CD016B">
      <w:pPr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(1)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  <w:t>Список стратегических партнеров ООО «банк Раунд»: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4"/>
        <w:gridCol w:w="9764"/>
        <w:gridCol w:w="2528"/>
      </w:tblGrid>
      <w:tr w:rsidR="00CD016B" w:rsidRPr="00EB2514" w:rsidTr="007245A9">
        <w:trPr>
          <w:cantSplit/>
          <w:trHeight w:val="20"/>
          <w:tblHeader/>
        </w:trPr>
        <w:tc>
          <w:tcPr>
            <w:tcW w:w="2834" w:type="dxa"/>
            <w:shd w:val="clear" w:color="auto" w:fill="ACB9CA" w:themeFill="text2" w:themeFillTint="66"/>
            <w:noWrap/>
            <w:vAlign w:val="center"/>
            <w:hideMark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9764" w:type="dxa"/>
            <w:shd w:val="clear" w:color="auto" w:fill="ACB9CA" w:themeFill="text2" w:themeFillTint="66"/>
            <w:noWrap/>
            <w:vAlign w:val="bottom"/>
            <w:hideMark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2528" w:type="dxa"/>
            <w:shd w:val="clear" w:color="auto" w:fill="ACB9CA" w:themeFill="text2" w:themeFillTint="66"/>
            <w:noWrap/>
            <w:vAlign w:val="center"/>
            <w:hideMark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ИНН</w:t>
            </w:r>
          </w:p>
        </w:tc>
      </w:tr>
      <w:tr w:rsidR="00CD016B" w:rsidRPr="00EB2514" w:rsidTr="007245A9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АО «ХК «МЕТАЛЛОИНВЕСТ»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7705392</w:t>
            </w: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230</w:t>
            </w:r>
          </w:p>
        </w:tc>
      </w:tr>
      <w:tr w:rsidR="00CD016B" w:rsidRPr="00EB2514" w:rsidTr="007245A9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764" w:type="dxa"/>
            <w:shd w:val="clear" w:color="auto" w:fill="auto"/>
            <w:noWrap/>
            <w:vAlign w:val="center"/>
            <w:hideMark/>
          </w:tcPr>
          <w:p w:rsidR="00CD016B" w:rsidRPr="00EB2514" w:rsidRDefault="00CD016B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ООО </w:t>
            </w: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«</w:t>
            </w: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ЮЭСЭМ ДЕВЕЛОПМЕНТ</w:t>
            </w: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7731422794</w:t>
            </w:r>
          </w:p>
        </w:tc>
      </w:tr>
      <w:tr w:rsidR="00CD016B" w:rsidRPr="00EB2514" w:rsidTr="007245A9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ООО «АСК РЕНЕССАНС»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9704025921</w:t>
            </w:r>
          </w:p>
        </w:tc>
      </w:tr>
      <w:tr w:rsidR="00CD016B" w:rsidRPr="00EB2514" w:rsidTr="007245A9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764" w:type="dxa"/>
            <w:shd w:val="clear" w:color="auto" w:fill="auto"/>
            <w:noWrap/>
            <w:vAlign w:val="center"/>
            <w:hideMark/>
          </w:tcPr>
          <w:p w:rsidR="00CD016B" w:rsidRPr="00EB2514" w:rsidRDefault="00CD016B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ООО «</w:t>
            </w:r>
            <w:r w:rsidRPr="00EB2514">
              <w:rPr>
                <w:rFonts w:asciiTheme="minorHAnsi" w:hAnsiTheme="minorHAnsi" w:cstheme="minorHAnsi"/>
                <w:sz w:val="20"/>
                <w:szCs w:val="20"/>
              </w:rPr>
              <w:t>ДиБиЭс Технологии</w:t>
            </w: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7701405463</w:t>
            </w:r>
          </w:p>
        </w:tc>
      </w:tr>
      <w:tr w:rsidR="00CD016B" w:rsidRPr="00EB2514" w:rsidTr="007245A9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ООО «Интеллектуальные платежи»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7701871009</w:t>
            </w:r>
          </w:p>
        </w:tc>
      </w:tr>
      <w:tr w:rsidR="00CD016B" w:rsidRPr="00EB2514" w:rsidTr="007245A9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АО «МегаФон Ритейл»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7825695758</w:t>
            </w:r>
          </w:p>
        </w:tc>
      </w:tr>
      <w:tr w:rsidR="00CD016B" w:rsidRPr="00EB2514" w:rsidTr="007245A9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ООО УК «МЕТАЛЛОИНВЕСТ»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5018108484</w:t>
            </w:r>
          </w:p>
        </w:tc>
      </w:tr>
      <w:tr w:rsidR="00CD016B" w:rsidRPr="00EB2514" w:rsidTr="007245A9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ПАО «МегаФон»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7812014560</w:t>
            </w:r>
          </w:p>
        </w:tc>
      </w:tr>
      <w:tr w:rsidR="00CD016B" w:rsidRPr="00EB2514" w:rsidTr="007245A9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ООО «ХК «ЮЭСЭМ»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9731001285</w:t>
            </w:r>
          </w:p>
        </w:tc>
      </w:tr>
      <w:tr w:rsidR="00CD016B" w:rsidRPr="00EB2514" w:rsidTr="007245A9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sz w:val="20"/>
                <w:szCs w:val="20"/>
              </w:rPr>
              <w:t xml:space="preserve">ООО </w:t>
            </w:r>
            <w:r w:rsidRPr="00EB2514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«</w:t>
            </w:r>
            <w:r w:rsidRPr="00EB2514">
              <w:rPr>
                <w:rFonts w:asciiTheme="minorHAnsi" w:hAnsiTheme="minorHAnsi" w:cstheme="minorHAnsi"/>
                <w:sz w:val="20"/>
                <w:szCs w:val="20"/>
              </w:rPr>
              <w:t>ИВЛ-инвест</w:t>
            </w:r>
            <w:r w:rsidRPr="00EB2514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sz w:val="20"/>
                <w:szCs w:val="20"/>
              </w:rPr>
              <w:t>7708405952</w:t>
            </w:r>
          </w:p>
        </w:tc>
      </w:tr>
      <w:tr w:rsidR="00CD016B" w:rsidRPr="00EB2514" w:rsidTr="007245A9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sz w:val="20"/>
                <w:szCs w:val="20"/>
              </w:rPr>
              <w:t xml:space="preserve">АО </w:t>
            </w:r>
            <w:r w:rsidRPr="00EB2514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«</w:t>
            </w:r>
            <w:r w:rsidRPr="00EB2514">
              <w:rPr>
                <w:rFonts w:asciiTheme="minorHAnsi" w:hAnsiTheme="minorHAnsi" w:cstheme="minorHAnsi"/>
                <w:sz w:val="20"/>
                <w:szCs w:val="20"/>
              </w:rPr>
              <w:t>Международный аэропорт "Внуково</w:t>
            </w:r>
            <w:r w:rsidRPr="00EB2514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sz w:val="20"/>
                <w:szCs w:val="20"/>
              </w:rPr>
              <w:t>7710404473</w:t>
            </w:r>
          </w:p>
        </w:tc>
      </w:tr>
      <w:tr w:rsidR="00CD016B" w:rsidRPr="00EB2514" w:rsidTr="007245A9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«Внуково – Управление активами»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7729445233</w:t>
            </w:r>
          </w:p>
        </w:tc>
      </w:tr>
      <w:tr w:rsidR="00CD016B" w:rsidRPr="00EB2514" w:rsidTr="007245A9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9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EB2514">
              <w:rPr>
                <w:rFonts w:asciiTheme="minorHAnsi" w:hAnsiTheme="minorHAnsi" w:cstheme="minorHAnsi"/>
                <w:sz w:val="20"/>
                <w:szCs w:val="20"/>
              </w:rPr>
              <w:t>ООО "Алибаба.ком (РУ)"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16B" w:rsidRPr="00EB2514" w:rsidRDefault="00CD016B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EB2514">
              <w:rPr>
                <w:rFonts w:asciiTheme="minorHAnsi" w:hAnsiTheme="minorHAnsi" w:cstheme="minorHAnsi"/>
                <w:sz w:val="20"/>
                <w:szCs w:val="20"/>
              </w:rPr>
              <w:t>7703380158</w:t>
            </w:r>
          </w:p>
        </w:tc>
      </w:tr>
    </w:tbl>
    <w:p w:rsidR="00CD016B" w:rsidRPr="00EB2514" w:rsidRDefault="00CD016B" w:rsidP="00CD016B">
      <w:pPr>
        <w:spacing w:before="120"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(2)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  <w:t>В рамках настоящей программы рефинансирования одному Заемщику может быть предоставлено не более одного кредита;</w:t>
      </w:r>
    </w:p>
    <w:p w:rsidR="00CD016B" w:rsidRPr="00EB2514" w:rsidRDefault="00CD016B" w:rsidP="00CD016B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(3)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  <w:t>Между Заемщиком и компанией, включенной в Список стратегических партнеров ООО «банк Раунд», заключен трудовой договор, в соответствии с условиями которого указанная компания является основным местом работы Заемщика;</w:t>
      </w:r>
    </w:p>
    <w:p w:rsidR="00CD016B" w:rsidRPr="00EB2514" w:rsidRDefault="00CD016B" w:rsidP="00CD016B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(4)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  <w:t>Дополнительные средства на потребительские нужды (на любые цели) могут быть предоставлены в размере не более 100% от величины рефинансируемой задолженности физического лица в пределах максимальной суммы кредита и лимита кредитования Заемщика, рассчитанного ООО «банк Раунд» по итогам рассмотрения кредитной заявки;</w:t>
      </w:r>
    </w:p>
    <w:p w:rsidR="00CD016B" w:rsidRPr="00EB2514" w:rsidRDefault="00CD016B" w:rsidP="00CD016B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lastRenderedPageBreak/>
        <w:t>(5)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  <w:t>Итоговая сумма кредита может быть снижена по результатам рассмотрения ООО «банк Раунд» кредитной заявки;</w:t>
      </w:r>
    </w:p>
    <w:p w:rsidR="00CD016B" w:rsidRPr="00EB2514" w:rsidRDefault="00CD016B" w:rsidP="00CD016B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(6)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</w:r>
      <w:r w:rsidRPr="00EB2514">
        <w:rPr>
          <w:rFonts w:ascii="Calibri" w:hAnsi="Calibri" w:cs="Calibri"/>
          <w:sz w:val="20"/>
          <w:szCs w:val="20"/>
          <w:lang w:val="ru-RU"/>
        </w:rPr>
        <w:t xml:space="preserve">На дату заключения кредитного договора значение процентной ставки по кредиту в процентах годовых, не может превышать значение процентной ставки, исходя из которого значение полной стоимости кредита в процентах годовых превысит предельное значение полной стоимости потребительских кредитов в процентах годовых, рассчитанное Банком России в соответствии с частью 11 статьи 6 Федерального закона от 21 декабря 2013 года № 353-ФЗ «О потребительском кредите (займе)», для соответствующей категории потребительских кредитов (займов), применяемое в календарном квартале, соответствующем дате заключения кредитного договора, опубликованное на </w:t>
      </w:r>
      <w:r w:rsidRPr="00EB2514">
        <w:rPr>
          <w:rFonts w:ascii="Calibri" w:hAnsi="Calibri" w:cs="Arial"/>
          <w:sz w:val="20"/>
          <w:szCs w:val="20"/>
          <w:lang w:val="ru-RU" w:eastAsia="ru-RU"/>
        </w:rPr>
        <w:t xml:space="preserve">официальном сайте Банка России </w:t>
      </w:r>
      <w:hyperlink r:id="rId5" w:history="1"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http</w:t>
        </w:r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://</w:t>
        </w:r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www</w:t>
        </w:r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.</w:t>
        </w:r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cbr</w:t>
        </w:r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.</w:t>
        </w:r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ru</w:t>
        </w:r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/</w:t>
        </w:r>
      </w:hyperlink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>;</w:t>
      </w:r>
    </w:p>
    <w:p w:rsidR="00CD016B" w:rsidRPr="00EB2514" w:rsidRDefault="00CD016B" w:rsidP="00CD016B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(7)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  <w:t>Заемщик обеспечивает перечисление заработной платы на банковский счет Заемщика, открытый в ООО «банк Раунд», в размере, достаточном для обслуживания кредита, предоставленного в рамках соответствующей программы кредитования. Понятие «заработная плата» определено в статье 129 Трудового кодекса Российской Федерации. В случае неперечисления заработной платы на банковский счет Заемщика, открытый в ООО «банк Раунд» или в случае отказа Заемщика в перечислении заработной платы на банковский счет Заемщика, открытый в ООО «банк Раунд», процентная ставка по кредиту увеличивается на 2.5%;</w:t>
      </w:r>
    </w:p>
    <w:p w:rsidR="00CD016B" w:rsidRPr="00EB2514" w:rsidRDefault="00CD016B" w:rsidP="00CD016B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(8)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  <w:t>Заемщик обеспечивает перечисление заработной платы на банковский счет Заемщика, открытый в ООО «банк Раунд», в размере, достаточном для обслуживания кредита, предоставленного в рамках соответствующей программы кредитования. Понятие «заработная плата» определено в статье 129 Трудового кодекса Российской Федерации. В случае неперечисления заработной платы на банковский счет Заемщика, открытый в ООО «банк Раунд» или в случае отказа Заемщика в перечислении заработной платы на банковский счет Заемщика, открытый в ООО «банк Раунд», процентная ставка по кредиту увеличивается на 2.0%;</w:t>
      </w:r>
    </w:p>
    <w:p w:rsidR="00CD016B" w:rsidRPr="00EB2514" w:rsidRDefault="00CD016B" w:rsidP="00CD016B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(9)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 xml:space="preserve">Если в течении 60 (Шестьдесят) календарных дней с даты выдачи кредита Заемщик не предоставит в 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</w:t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 xml:space="preserve">справки о погашении задолженности по рефинансируемому(-ым) кредиту(-ам) и при этом 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>по истечение указанного срока</w:t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 xml:space="preserve"> у 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будет отсутствовать иная документально подтвержденная информация о </w:t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>погашении задолженности по всем рефинансируемым кредитам,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 указанным в кредитном договоре</w:t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>,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>процентная ставка по кредиту увеличивается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 xml:space="preserve">на 5.0% в соответствии с условиями кредитного договора. Если после увеличения процентной ставки Заемщик в течении срока кредита предоставит в 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>ООО «банк Раунд»</w:t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 xml:space="preserve"> справки о погашении задолженности по рефинансируемым кредитам процентная ставка по кредиту снижается на 5.0% в соответствии с условиями кредитного договора.</w:t>
      </w:r>
    </w:p>
    <w:p w:rsidR="00CD016B" w:rsidRPr="00EB2514" w:rsidRDefault="00CD016B" w:rsidP="00CD016B">
      <w:pPr>
        <w:spacing w:after="600"/>
        <w:jc w:val="right"/>
        <w:rPr>
          <w:rFonts w:ascii="Calibri" w:hAnsi="Calibri" w:cs="Calibri"/>
          <w:b/>
          <w:sz w:val="20"/>
          <w:szCs w:val="20"/>
          <w:lang w:val="ru-RU" w:eastAsia="ru-RU"/>
        </w:rPr>
        <w:sectPr w:rsidR="00CD016B" w:rsidRPr="00EB2514" w:rsidSect="00EB2514">
          <w:footerReference w:type="even" r:id="rId6"/>
          <w:pgSz w:w="16838" w:h="11906" w:orient="landscape"/>
          <w:pgMar w:top="851" w:right="851" w:bottom="851" w:left="851" w:header="720" w:footer="720" w:gutter="0"/>
          <w:cols w:space="720"/>
          <w:titlePg/>
          <w:docGrid w:linePitch="360"/>
        </w:sectPr>
      </w:pPr>
    </w:p>
    <w:p w:rsidR="00CD016B" w:rsidRPr="00EB2514" w:rsidRDefault="00CD016B" w:rsidP="00CD016B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lastRenderedPageBreak/>
        <w:t>Приложение №1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 xml:space="preserve">кредитов физическим лицам – работникам 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>компаний, включенных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 в Список стратегических партнеров ООО «банк Раунд»</w:t>
      </w:r>
    </w:p>
    <w:p w:rsidR="00CD016B" w:rsidRPr="00EB2514" w:rsidRDefault="00CD016B" w:rsidP="00CD016B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</w:t>
      </w: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EB2514">
        <w:rPr>
          <w:rFonts w:ascii="Calibri" w:hAnsi="Calibri" w:cs="Calibri"/>
          <w:i/>
          <w:sz w:val="20"/>
          <w:szCs w:val="20"/>
          <w:lang w:val="ru-RU" w:eastAsia="ru-RU"/>
        </w:rPr>
        <w:t>к «Условиям предоставления потребительских кредитов физическим лицам – работникам компаний, включенных в Список стратегических партнеров ООО «банк 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CD016B" w:rsidRPr="007F61E2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9"/>
              </w:numPr>
              <w:tabs>
                <w:tab w:val="left" w:pos="567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гражданства РФ и постоянная регистрация и/или место работы (в регионе, где находится ООО «банк Раунд»);</w:t>
            </w:r>
          </w:p>
        </w:tc>
      </w:tr>
      <w:tr w:rsidR="00CD016B" w:rsidRPr="00EB2514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9"/>
              </w:numPr>
              <w:tabs>
                <w:tab w:val="left" w:pos="567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Возраст Заемщика на момент предоставления кредита – не менее 23 лет. Возраст на момент возврата кредита по кредитному договору должен не превышать даты наступления пенсионного возраста, в соответствии с действующим законодательством РФ, в том числе с учетом следующего:</w:t>
            </w:r>
          </w:p>
          <w:tbl>
            <w:tblPr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401"/>
              <w:gridCol w:w="3401"/>
              <w:gridCol w:w="3402"/>
            </w:tblGrid>
            <w:tr w:rsidR="00CD016B" w:rsidRPr="00EB2514" w:rsidTr="007245A9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CD016B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CD016B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CD016B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CD016B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CD016B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CD016B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1968</w:t>
                  </w:r>
                </w:p>
              </w:tc>
              <w:tc>
                <w:tcPr>
                  <w:tcW w:w="3399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  <w:tr w:rsidR="00CD016B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1969</w:t>
                  </w:r>
                </w:p>
              </w:tc>
              <w:tc>
                <w:tcPr>
                  <w:tcW w:w="3399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61 год</w:t>
                  </w:r>
                </w:p>
              </w:tc>
            </w:tr>
            <w:tr w:rsidR="00CD016B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1970</w:t>
                  </w:r>
                </w:p>
              </w:tc>
              <w:tc>
                <w:tcPr>
                  <w:tcW w:w="3399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62 года</w:t>
                  </w:r>
                </w:p>
              </w:tc>
            </w:tr>
            <w:tr w:rsidR="00CD016B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1971</w:t>
                  </w:r>
                </w:p>
              </w:tc>
              <w:tc>
                <w:tcPr>
                  <w:tcW w:w="3399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</w:tbl>
          <w:p w:rsidR="00CD016B" w:rsidRPr="00EB2514" w:rsidRDefault="00CD016B" w:rsidP="007245A9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CD016B" w:rsidRPr="007F61E2" w:rsidTr="007245A9">
        <w:trPr>
          <w:trHeight w:val="370"/>
        </w:trPr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9"/>
              </w:numPr>
              <w:tabs>
                <w:tab w:val="left" w:pos="567"/>
              </w:tabs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мужского пола в возрасте до 27 лет должен иметь военный билет;</w:t>
            </w:r>
          </w:p>
        </w:tc>
      </w:tr>
      <w:tr w:rsidR="00CD016B" w:rsidRPr="007F61E2" w:rsidTr="007245A9">
        <w:trPr>
          <w:trHeight w:val="370"/>
        </w:trPr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9"/>
              </w:numPr>
              <w:tabs>
                <w:tab w:val="left" w:pos="567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Общий стаж работы – не менее 12 месяцев, по последнему месту работы не менее 3 месяцев;</w:t>
            </w:r>
          </w:p>
        </w:tc>
      </w:tr>
      <w:tr w:rsidR="00CD016B" w:rsidRPr="007F61E2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9"/>
              </w:numPr>
              <w:tabs>
                <w:tab w:val="left" w:pos="567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не может быть оценено хуже, чем «Хорошее»;</w:t>
            </w:r>
          </w:p>
        </w:tc>
      </w:tr>
      <w:tr w:rsidR="00CD016B" w:rsidRPr="007F61E2" w:rsidTr="007245A9">
        <w:trPr>
          <w:cantSplit/>
        </w:trPr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9"/>
              </w:numPr>
              <w:tabs>
                <w:tab w:val="left" w:pos="567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Доходы Заемщика подтверждаются справками о доходах и суммах налога физического лица по форме 2-НДФЛ с учетом следующего:</w:t>
            </w:r>
          </w:p>
          <w:p w:rsidR="00CD016B" w:rsidRPr="00EB2514" w:rsidRDefault="00CD016B" w:rsidP="00CD016B">
            <w:pPr>
              <w:numPr>
                <w:ilvl w:val="0"/>
                <w:numId w:val="4"/>
              </w:numPr>
              <w:tabs>
                <w:tab w:val="left" w:pos="567"/>
              </w:tabs>
              <w:ind w:left="567" w:firstLine="142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 период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:rsidR="00CD016B" w:rsidRPr="00EB2514" w:rsidRDefault="00CD016B" w:rsidP="00CD016B">
            <w:pPr>
              <w:numPr>
                <w:ilvl w:val="0"/>
                <w:numId w:val="4"/>
              </w:numPr>
              <w:tabs>
                <w:tab w:val="left" w:pos="567"/>
              </w:tabs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:rsidR="00CD016B" w:rsidRPr="00EB2514" w:rsidRDefault="00CD016B" w:rsidP="00CD016B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/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CD016B" w:rsidRPr="007F61E2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9"/>
              </w:numPr>
              <w:tabs>
                <w:tab w:val="left" w:pos="567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Отсутствие</w:t>
            </w:r>
            <w:r w:rsidRPr="00EB2514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 текущей просроченной задолженности по основному долгу и (или) процентам;</w:t>
            </w:r>
          </w:p>
        </w:tc>
      </w:tr>
      <w:tr w:rsidR="00CD016B" w:rsidRPr="00EB2514" w:rsidTr="007245A9">
        <w:trPr>
          <w:trHeight w:val="567"/>
        </w:trPr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9"/>
              </w:numPr>
              <w:tabs>
                <w:tab w:val="left" w:pos="567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EB251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случая (случаев) просроченных платежей по основному долгу и (или) процентам в течение 365 календарных дней продолжительностью (общей продолжительностью) свыше 30 календарных дней;</w:t>
            </w:r>
          </w:p>
        </w:tc>
      </w:tr>
      <w:tr w:rsidR="00CD016B" w:rsidRPr="007F61E2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9"/>
              </w:numPr>
              <w:tabs>
                <w:tab w:val="left" w:pos="570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Заемщика, к которой относится (включая, но не ограничиваясь):</w:t>
            </w:r>
          </w:p>
          <w:p w:rsidR="00CD016B" w:rsidRPr="00EB2514" w:rsidRDefault="00CD016B" w:rsidP="00CD016B">
            <w:pPr>
              <w:numPr>
                <w:ilvl w:val="0"/>
                <w:numId w:val="2"/>
              </w:numPr>
              <w:tabs>
                <w:tab w:val="left" w:pos="567"/>
              </w:tabs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:rsidR="00CD016B" w:rsidRPr="00EB2514" w:rsidRDefault="00CD016B" w:rsidP="00CD016B">
            <w:pPr>
              <w:numPr>
                <w:ilvl w:val="0"/>
                <w:numId w:val="2"/>
              </w:numPr>
              <w:tabs>
                <w:tab w:val="left" w:pos="555"/>
              </w:tabs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займах;</w:t>
            </w:r>
          </w:p>
          <w:p w:rsidR="00CD016B" w:rsidRPr="00EB2514" w:rsidRDefault="00CD016B" w:rsidP="00CD016B">
            <w:pPr>
              <w:numPr>
                <w:ilvl w:val="0"/>
                <w:numId w:val="2"/>
              </w:numPr>
              <w:tabs>
                <w:tab w:val="left" w:pos="555"/>
              </w:tabs>
              <w:spacing w:after="120"/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наличия сформированного в Едином реестре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обязанных состоять на воинском учете, решения о принятии временных мер, направленных на обеспечение явки по повестке военного комиссариата.</w:t>
            </w:r>
          </w:p>
        </w:tc>
      </w:tr>
      <w:tr w:rsidR="00CD016B" w:rsidRPr="007F61E2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9"/>
              </w:numPr>
              <w:tabs>
                <w:tab w:val="left" w:pos="567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банковского счета Заемщика, открытого в ООО «банк Раунд», либо оформленного Заемщиком соглашения (заявления) об открытии банковского счета в ООО «банк Раунд»;</w:t>
            </w:r>
          </w:p>
        </w:tc>
      </w:tr>
      <w:tr w:rsidR="00CD016B" w:rsidRPr="007F61E2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9"/>
              </w:numPr>
              <w:tabs>
                <w:tab w:val="left" w:pos="567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Наличие на дату оформления кредита заявления Заемщика о зачислении заработной платы,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размере достаточном для обслуживания кредита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на банковский счет Заемщика, открытый в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ООО «банк Раунд». В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lastRenderedPageBreak/>
              <w:t xml:space="preserve">случае отказа Заемщика в перечислении заработной платы на банковский счет Заемщика, открытый в ООО «банк Раунд», процентная ставка по кредиту увеличивается на 2.5%; </w:t>
            </w:r>
          </w:p>
        </w:tc>
      </w:tr>
      <w:tr w:rsidR="00CD016B" w:rsidRPr="007F61E2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9"/>
              </w:numPr>
              <w:tabs>
                <w:tab w:val="left" w:pos="567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lastRenderedPageBreak/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</w:tc>
      </w:tr>
      <w:tr w:rsidR="00CD016B" w:rsidRPr="007F61E2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9"/>
              </w:numPr>
              <w:tabs>
                <w:tab w:val="left" w:pos="567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согласия Заемщика на обработку персональных данных и на обращение ООО «банк Раунд» в бюро кредитных историй для запроса кредитной истории Заемщика;</w:t>
            </w:r>
          </w:p>
        </w:tc>
      </w:tr>
      <w:tr w:rsidR="00CD016B" w:rsidRPr="007F61E2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9"/>
              </w:numPr>
              <w:tabs>
                <w:tab w:val="left" w:pos="567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Указанные в п.п. 12 – 13 настоящих требований документы должны быть оформлены по форме, утвержденной ООО «банк Раунд».</w:t>
            </w:r>
          </w:p>
        </w:tc>
      </w:tr>
    </w:tbl>
    <w:p w:rsidR="00CD016B" w:rsidRPr="00EB2514" w:rsidRDefault="00CD016B" w:rsidP="00CD016B">
      <w:pPr>
        <w:tabs>
          <w:tab w:val="left" w:pos="570"/>
        </w:tabs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Заемщик в целях увеличения вероятности одобрения кредитной заявки может предоставлять иные документы, запрошенные ООО «банк Раунд».</w:t>
      </w:r>
    </w:p>
    <w:p w:rsidR="00CD016B" w:rsidRPr="00EB2514" w:rsidRDefault="00CD016B" w:rsidP="00CD016B">
      <w:pPr>
        <w:rPr>
          <w:rFonts w:ascii="Calibri" w:hAnsi="Calibri" w:cs="Calibri"/>
          <w:b/>
          <w:sz w:val="20"/>
          <w:szCs w:val="20"/>
          <w:u w:val="single"/>
          <w:lang w:val="ru-RU"/>
        </w:rPr>
      </w:pPr>
      <w:r w:rsidRPr="00EB2514">
        <w:rPr>
          <w:rFonts w:ascii="Calibri" w:hAnsi="Calibri" w:cs="Calibri"/>
          <w:b/>
          <w:sz w:val="20"/>
          <w:szCs w:val="20"/>
          <w:u w:val="single"/>
          <w:lang w:val="ru-RU"/>
        </w:rPr>
        <w:br w:type="page"/>
      </w:r>
    </w:p>
    <w:p w:rsidR="00CD016B" w:rsidRPr="00EB2514" w:rsidRDefault="00CD016B" w:rsidP="00CD016B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lastRenderedPageBreak/>
        <w:t>Приложение №2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 xml:space="preserve">кредитов физическим лицам – работникам 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>компаний, включенных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 в Список стратегических партнеров ООО «банк Раунд»</w:t>
      </w:r>
    </w:p>
    <w:p w:rsidR="00CD016B" w:rsidRPr="00EB2514" w:rsidRDefault="00CD016B" w:rsidP="00CD016B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t xml:space="preserve">ТРЕБОВАНИЯ К ЗАЕМЩИКАМ </w:t>
      </w: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EB2514">
        <w:rPr>
          <w:rFonts w:ascii="Calibri" w:hAnsi="Calibri" w:cs="Calibri"/>
          <w:i/>
          <w:sz w:val="20"/>
          <w:szCs w:val="20"/>
          <w:lang w:val="ru-RU" w:eastAsia="ru-RU"/>
        </w:rPr>
        <w:t>к «Условиям предоставления потребительских кредитов физическим лицам – работникам компаний, включенных в Список стратегических партнеров ООО «банк 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CD016B" w:rsidRPr="007F61E2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10"/>
              </w:numPr>
              <w:tabs>
                <w:tab w:val="left" w:pos="567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гражданства РФ и постоянная регистрация и/или место работы (в регионе, где находится Банк);</w:t>
            </w:r>
          </w:p>
        </w:tc>
      </w:tr>
      <w:tr w:rsidR="00CD016B" w:rsidRPr="00EB2514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10"/>
              </w:numPr>
              <w:tabs>
                <w:tab w:val="left" w:pos="567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Возраст Заемщика на момент предоставления кредита – не менее 23 лет. Возраст на момент возврата кредита по кредитному 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401"/>
              <w:gridCol w:w="3401"/>
              <w:gridCol w:w="3402"/>
            </w:tblGrid>
            <w:tr w:rsidR="00CD016B" w:rsidRPr="00EB2514" w:rsidTr="007245A9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CD016B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CD016B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CD016B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CD016B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CD016B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CD016B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1968</w:t>
                  </w:r>
                </w:p>
              </w:tc>
              <w:tc>
                <w:tcPr>
                  <w:tcW w:w="3399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  <w:tr w:rsidR="00CD016B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1969</w:t>
                  </w:r>
                </w:p>
              </w:tc>
              <w:tc>
                <w:tcPr>
                  <w:tcW w:w="3399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61 год</w:t>
                  </w:r>
                </w:p>
              </w:tc>
            </w:tr>
            <w:tr w:rsidR="00CD016B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1970</w:t>
                  </w:r>
                </w:p>
              </w:tc>
              <w:tc>
                <w:tcPr>
                  <w:tcW w:w="3399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62 года</w:t>
                  </w:r>
                </w:p>
              </w:tc>
            </w:tr>
            <w:tr w:rsidR="00CD016B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1971</w:t>
                  </w:r>
                </w:p>
              </w:tc>
              <w:tc>
                <w:tcPr>
                  <w:tcW w:w="3399" w:type="dxa"/>
                  <w:vAlign w:val="center"/>
                </w:tcPr>
                <w:p w:rsidR="00CD016B" w:rsidRPr="00EB2514" w:rsidRDefault="00CD016B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</w:tbl>
          <w:p w:rsidR="00CD016B" w:rsidRPr="00EB2514" w:rsidRDefault="00CD016B" w:rsidP="007245A9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CD016B" w:rsidRPr="007F61E2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10"/>
              </w:numPr>
              <w:tabs>
                <w:tab w:val="left" w:pos="567"/>
              </w:tabs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мужского пола в возрасте до 27 лет должен иметь военный билет;</w:t>
            </w:r>
          </w:p>
        </w:tc>
      </w:tr>
      <w:tr w:rsidR="00CD016B" w:rsidRPr="007F61E2" w:rsidTr="007245A9">
        <w:trPr>
          <w:trHeight w:val="370"/>
        </w:trPr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10"/>
              </w:numPr>
              <w:tabs>
                <w:tab w:val="left" w:pos="567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Общий стаж работы – не менее 12 месяцев, по последнему месту работы не менее 3 месяцев;</w:t>
            </w:r>
          </w:p>
        </w:tc>
      </w:tr>
      <w:tr w:rsidR="00CD016B" w:rsidRPr="007F61E2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10"/>
              </w:numPr>
              <w:tabs>
                <w:tab w:val="left" w:pos="567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ООО «банк Раунд» </w:t>
            </w:r>
            <w:r w:rsidRPr="00EB2514">
              <w:rPr>
                <w:rFonts w:ascii="Calibri" w:hAnsi="Calibri" w:cs="Calibri"/>
                <w:bCs/>
                <w:iCs/>
                <w:sz w:val="20"/>
                <w:szCs w:val="20"/>
                <w:lang w:val="ru-RU"/>
              </w:rPr>
              <w:t>в течение последнего завершенного и текущего года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оценивается как «Хорошее»;</w:t>
            </w:r>
          </w:p>
        </w:tc>
      </w:tr>
      <w:tr w:rsidR="00CD016B" w:rsidRPr="007F61E2" w:rsidTr="007245A9">
        <w:trPr>
          <w:cantSplit/>
        </w:trPr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10"/>
              </w:numPr>
              <w:tabs>
                <w:tab w:val="left" w:pos="567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Доходы Заемщика подтверждаются справками о доходах и суммах налога физического лица по форме 2-НДФЛ с учетом следующего:</w:t>
            </w:r>
          </w:p>
          <w:p w:rsidR="00CD016B" w:rsidRPr="00EB2514" w:rsidRDefault="00CD016B" w:rsidP="00CD016B">
            <w:pPr>
              <w:numPr>
                <w:ilvl w:val="0"/>
                <w:numId w:val="4"/>
              </w:numPr>
              <w:tabs>
                <w:tab w:val="left" w:pos="567"/>
              </w:tabs>
              <w:ind w:left="567" w:firstLine="142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 период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:rsidR="00CD016B" w:rsidRPr="00EB2514" w:rsidRDefault="00CD016B" w:rsidP="00CD016B">
            <w:pPr>
              <w:numPr>
                <w:ilvl w:val="0"/>
                <w:numId w:val="4"/>
              </w:numPr>
              <w:tabs>
                <w:tab w:val="left" w:pos="567"/>
              </w:tabs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:rsidR="00CD016B" w:rsidRPr="00EB2514" w:rsidRDefault="00CD016B" w:rsidP="00CD016B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/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CD016B" w:rsidRPr="007F61E2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10"/>
              </w:numPr>
              <w:tabs>
                <w:tab w:val="left" w:pos="567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Отсутствие</w:t>
            </w:r>
            <w:r w:rsidRPr="00EB2514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 текущей просроченной задолженности по основному долгу и (или) процентам;</w:t>
            </w:r>
          </w:p>
        </w:tc>
      </w:tr>
      <w:tr w:rsidR="00CD016B" w:rsidRPr="007F61E2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10"/>
              </w:numPr>
              <w:tabs>
                <w:tab w:val="left" w:pos="567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EB251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случая (случаев) просроченных платежей по основному долгу и (или) процентам в течение 365 календарных дней;</w:t>
            </w:r>
          </w:p>
        </w:tc>
      </w:tr>
      <w:tr w:rsidR="00CD016B" w:rsidRPr="007F61E2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10"/>
              </w:numPr>
              <w:tabs>
                <w:tab w:val="left" w:pos="570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Заемщика, к которой относится (включая, но не ограничиваясь):</w:t>
            </w:r>
          </w:p>
          <w:p w:rsidR="00CD016B" w:rsidRPr="00EB2514" w:rsidRDefault="00CD016B" w:rsidP="00CD016B">
            <w:pPr>
              <w:numPr>
                <w:ilvl w:val="0"/>
                <w:numId w:val="2"/>
              </w:numPr>
              <w:tabs>
                <w:tab w:val="left" w:pos="567"/>
              </w:tabs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:rsidR="00CD016B" w:rsidRPr="00EB2514" w:rsidRDefault="00CD016B" w:rsidP="00CD016B">
            <w:pPr>
              <w:numPr>
                <w:ilvl w:val="0"/>
                <w:numId w:val="2"/>
              </w:numPr>
              <w:tabs>
                <w:tab w:val="left" w:pos="555"/>
              </w:tabs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займах;</w:t>
            </w:r>
          </w:p>
          <w:p w:rsidR="00CD016B" w:rsidRPr="00EB2514" w:rsidRDefault="00CD016B" w:rsidP="00CD016B">
            <w:pPr>
              <w:numPr>
                <w:ilvl w:val="0"/>
                <w:numId w:val="2"/>
              </w:numPr>
              <w:tabs>
                <w:tab w:val="left" w:pos="555"/>
              </w:tabs>
              <w:spacing w:after="120"/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наличия сформированного в Едином реестре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обязанных состоять на воинском учете, решения о принятии временных мер, направленных на обеспечение явки по повестке военного комиссариата.</w:t>
            </w:r>
          </w:p>
        </w:tc>
      </w:tr>
      <w:tr w:rsidR="00CD016B" w:rsidRPr="007F61E2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10"/>
              </w:numPr>
              <w:tabs>
                <w:tab w:val="left" w:pos="567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банковского счета Заемщика, открытого в ООО «банк Раунд», либо оформленного Заемщиком соглашения (заявления) об открытии банковского счета в Банке;</w:t>
            </w:r>
          </w:p>
        </w:tc>
      </w:tr>
      <w:tr w:rsidR="00CD016B" w:rsidRPr="007F61E2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10"/>
              </w:numPr>
              <w:tabs>
                <w:tab w:val="left" w:pos="567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Наличие на дату оформления кредита заявления Заемщика о зачислении заработной платы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размере, достаточном для обслуживания кредита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на банковский счет Заемщика, открытый в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ООО «банк Раунд». В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lastRenderedPageBreak/>
              <w:t>случае отказа Заемщика в перечислении заработной платы на банковский счет Заемщика, открытый в ООО «банк Раунд», процентная ставка по кредиту увеличивается на 2.0%;</w:t>
            </w:r>
          </w:p>
        </w:tc>
      </w:tr>
      <w:tr w:rsidR="00CD016B" w:rsidRPr="007F61E2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10"/>
              </w:numPr>
              <w:tabs>
                <w:tab w:val="left" w:pos="567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lastRenderedPageBreak/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</w:tc>
      </w:tr>
      <w:tr w:rsidR="00CD016B" w:rsidRPr="007F61E2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10"/>
              </w:numPr>
              <w:tabs>
                <w:tab w:val="left" w:pos="567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согласия Заемщика на обработку персональных данных и на обращение ООО «банк Раунд» в бюро кредитных историй для запроса кредитной истории Заемщика;</w:t>
            </w:r>
          </w:p>
        </w:tc>
      </w:tr>
      <w:tr w:rsidR="00CD016B" w:rsidRPr="007F61E2" w:rsidTr="007245A9">
        <w:tc>
          <w:tcPr>
            <w:tcW w:w="10204" w:type="dxa"/>
          </w:tcPr>
          <w:p w:rsidR="00CD016B" w:rsidRPr="00EB2514" w:rsidRDefault="00CD016B" w:rsidP="00CD016B">
            <w:pPr>
              <w:numPr>
                <w:ilvl w:val="0"/>
                <w:numId w:val="10"/>
              </w:numPr>
              <w:tabs>
                <w:tab w:val="left" w:pos="567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Указанные в п.п. 12 – 13 настоящих требований документы должны быть оформлены по форме, утвержденной Банка.</w:t>
            </w:r>
          </w:p>
        </w:tc>
      </w:tr>
    </w:tbl>
    <w:p w:rsidR="00CD016B" w:rsidRPr="00EB2514" w:rsidRDefault="00CD016B" w:rsidP="00CD016B">
      <w:pPr>
        <w:tabs>
          <w:tab w:val="left" w:pos="570"/>
        </w:tabs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Заемщик в целях увеличения вероятности одобрения кредитной заявки может предоставлять иные документы, запрошенные ООО «банк Раунд».</w:t>
      </w:r>
    </w:p>
    <w:p w:rsidR="00CD016B" w:rsidRPr="00EB2514" w:rsidRDefault="00CD016B" w:rsidP="00CD016B">
      <w:pPr>
        <w:rPr>
          <w:rFonts w:ascii="Calibri" w:hAnsi="Calibri" w:cs="Calibri"/>
          <w:b/>
          <w:sz w:val="20"/>
          <w:szCs w:val="20"/>
          <w:u w:val="single"/>
          <w:lang w:val="ru-RU"/>
        </w:rPr>
      </w:pPr>
      <w:r w:rsidRPr="00EB2514">
        <w:rPr>
          <w:rFonts w:ascii="Calibri" w:hAnsi="Calibri" w:cs="Calibri"/>
          <w:b/>
          <w:sz w:val="20"/>
          <w:szCs w:val="20"/>
          <w:u w:val="single"/>
          <w:lang w:val="ru-RU"/>
        </w:rPr>
        <w:br w:type="page"/>
      </w:r>
    </w:p>
    <w:p w:rsidR="00CD016B" w:rsidRPr="00EB2514" w:rsidRDefault="00CD016B" w:rsidP="00CD016B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lastRenderedPageBreak/>
        <w:t>Приложение №3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 xml:space="preserve">кредитов физическим лицам – работникам 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>компаний, включенных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 в Список стратегических партнеров ООО «банк Раунд»</w:t>
      </w:r>
    </w:p>
    <w:p w:rsidR="00CD016B" w:rsidRPr="00EB2514" w:rsidRDefault="00CD016B" w:rsidP="00CD016B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t>ТРЕБОВАНИЯ К РЕФИНАНСИРУЕМЫМ КРЕДИТАМ</w:t>
      </w: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EB2514">
        <w:rPr>
          <w:rFonts w:ascii="Calibri" w:hAnsi="Calibri" w:cs="Calibri"/>
          <w:i/>
          <w:sz w:val="20"/>
          <w:szCs w:val="20"/>
          <w:lang w:val="ru-RU" w:eastAsia="ru-RU"/>
        </w:rPr>
        <w:t>к «Условиям предоставления потребительских кредитов физическим лицам – работникам компаний, включенных в Список стратегических партнеров ООО «банк Раунд»</w:t>
      </w:r>
    </w:p>
    <w:p w:rsidR="00CD016B" w:rsidRPr="00EB2514" w:rsidRDefault="00CD016B" w:rsidP="00CD016B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Рефинансирование предоставляется на погашение залоговых и беззалоговых кредитов других банков (потребительских кредитов, автокредитов и ипотечных кредитов), каждый из которых должен соответствовать следующим критериям и условиям:</w:t>
      </w:r>
    </w:p>
    <w:p w:rsidR="00CD016B" w:rsidRPr="00EB2514" w:rsidRDefault="00CD016B" w:rsidP="00CD016B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Валюта кредита – рубль РФ;</w:t>
      </w:r>
    </w:p>
    <w:p w:rsidR="00CD016B" w:rsidRPr="00EB2514" w:rsidRDefault="00CD016B" w:rsidP="00CD016B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Остаток долга по кредиту – не менее 50</w:t>
      </w:r>
      <w:r w:rsidRPr="00EB2514">
        <w:rPr>
          <w:rFonts w:ascii="Calibri" w:hAnsi="Calibri" w:cs="Calibri"/>
          <w:sz w:val="20"/>
          <w:szCs w:val="20"/>
          <w:lang w:eastAsia="ru-RU"/>
        </w:rPr>
        <w:t> 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>000 руб.;</w:t>
      </w:r>
    </w:p>
    <w:p w:rsidR="00CD016B" w:rsidRPr="00EB2514" w:rsidRDefault="00CD016B" w:rsidP="00CD016B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Погашение задолженности – ежемесячно;</w:t>
      </w:r>
    </w:p>
    <w:p w:rsidR="00CD016B" w:rsidRPr="00EB2514" w:rsidRDefault="00CD016B" w:rsidP="00CD016B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С даты выдачи кредита – не менее 6 месяцев;</w:t>
      </w:r>
    </w:p>
    <w:p w:rsidR="00CD016B" w:rsidRPr="00EB2514" w:rsidRDefault="00CD016B" w:rsidP="00CD016B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/>
        </w:rPr>
        <w:t>До даты полного погашения кредита – не менее 3 месяцев на дату рассмотрения кредитной заявки;</w:t>
      </w:r>
    </w:p>
    <w:p w:rsidR="00CD016B" w:rsidRPr="00EB2514" w:rsidRDefault="00CD016B" w:rsidP="00CD016B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Отсутствие просроченных платежей по кредиту (в течении всего срока действия кредита);</w:t>
      </w:r>
    </w:p>
    <w:p w:rsidR="00CD016B" w:rsidRPr="00EB2514" w:rsidRDefault="00CD016B" w:rsidP="00CD016B">
      <w:pPr>
        <w:numPr>
          <w:ilvl w:val="0"/>
          <w:numId w:val="5"/>
        </w:num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Отсутствие реструктуризации по рефинансируемому кредиту за весь период его действия.</w:t>
      </w:r>
    </w:p>
    <w:p w:rsidR="00CD016B" w:rsidRPr="00EB2514" w:rsidRDefault="00CD016B" w:rsidP="00CD016B">
      <w:pPr>
        <w:jc w:val="both"/>
        <w:rPr>
          <w:rFonts w:ascii="Calibri" w:hAnsi="Calibri" w:cs="Calibri"/>
          <w:b/>
          <w:sz w:val="20"/>
          <w:szCs w:val="20"/>
          <w:u w:val="single"/>
          <w:lang w:val="ru-RU"/>
        </w:rPr>
        <w:sectPr w:rsidR="00CD016B" w:rsidRPr="00EB2514" w:rsidSect="00EB2514">
          <w:footerReference w:type="even" r:id="rId7"/>
          <w:pgSz w:w="11906" w:h="16838"/>
          <w:pgMar w:top="851" w:right="851" w:bottom="851" w:left="851" w:header="720" w:footer="720" w:gutter="0"/>
          <w:cols w:space="720"/>
          <w:docGrid w:linePitch="360"/>
        </w:sect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Не подлежит рефинансированию задолженность по кредитным картам и дебетовым картам с разрешенным овердрафтом. Одной кредитной заявкой можно</w:t>
      </w:r>
      <w:r>
        <w:rPr>
          <w:rFonts w:ascii="Calibri" w:hAnsi="Calibri" w:cs="Calibri"/>
          <w:sz w:val="20"/>
          <w:szCs w:val="20"/>
          <w:lang w:val="ru-RU" w:eastAsia="ru-RU"/>
        </w:rPr>
        <w:t xml:space="preserve"> объединить не более 5 кредитов</w:t>
      </w:r>
    </w:p>
    <w:p w:rsidR="004C5AC8" w:rsidRPr="00CD016B" w:rsidRDefault="004C5AC8" w:rsidP="00CD016B"/>
    <w:sectPr w:rsidR="004C5AC8" w:rsidRPr="00CD0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16B" w:rsidRDefault="00CD016B" w:rsidP="00C5111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52</w:t>
    </w:r>
    <w:r>
      <w:rPr>
        <w:rStyle w:val="a5"/>
      </w:rPr>
      <w:fldChar w:fldCharType="end"/>
    </w:r>
  </w:p>
  <w:p w:rsidR="00CD016B" w:rsidRDefault="00CD016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16B" w:rsidRDefault="00CD016B" w:rsidP="00C5111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52</w:t>
    </w:r>
    <w:r>
      <w:rPr>
        <w:rStyle w:val="a5"/>
      </w:rPr>
      <w:fldChar w:fldCharType="end"/>
    </w:r>
  </w:p>
  <w:p w:rsidR="00CD016B" w:rsidRDefault="00CD016B">
    <w:pPr>
      <w:pStyle w:val="a3"/>
      <w:ind w:right="360"/>
    </w:pPr>
  </w:p>
  <w:p w:rsidR="00CD016B" w:rsidRDefault="00CD016B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9C0"/>
    <w:rsid w:val="004C5AC8"/>
    <w:rsid w:val="009D39C0"/>
    <w:rsid w:val="00CD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06660-DC04-449E-B140-4A09B0FC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D016B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D01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D0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c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2521</Words>
  <Characters>14373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Kuzovkov Anton</dc:creator>
  <cp:keywords/>
  <dc:description/>
  <cp:lastModifiedBy>Kuzovkov Anton</cp:lastModifiedBy>
  <cp:revision>2</cp:revision>
  <dcterms:created xsi:type="dcterms:W3CDTF">2023-08-29T11:02:00Z</dcterms:created>
  <dcterms:modified xsi:type="dcterms:W3CDTF">2023-08-29T11:02:00Z</dcterms:modified>
</cp:coreProperties>
</file>